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8AE7" w14:textId="77777777" w:rsidR="00944B6E" w:rsidRDefault="00000000">
      <w:pPr>
        <w:spacing w:after="60"/>
        <w:jc w:val="center"/>
      </w:pPr>
      <w:r>
        <w:rPr>
          <w:rFonts w:ascii="Arial" w:eastAsia="Arial" w:hAnsi="Arial" w:cs="Arial"/>
          <w:b/>
          <w:bCs/>
          <w:color w:val="1B8080"/>
          <w:sz w:val="32"/>
          <w:szCs w:val="32"/>
        </w:rPr>
        <w:t>Third Ward Early Capacity Building Grant Fund</w:t>
      </w:r>
    </w:p>
    <w:p w14:paraId="4C66757E" w14:textId="77777777" w:rsidR="00944B6E" w:rsidRDefault="00000000">
      <w:pPr>
        <w:spacing w:after="240"/>
        <w:jc w:val="center"/>
      </w:pPr>
      <w:r>
        <w:rPr>
          <w:rFonts w:ascii="Arial" w:eastAsia="Arial" w:hAnsi="Arial" w:cs="Arial"/>
          <w:sz w:val="26"/>
          <w:szCs w:val="26"/>
        </w:rPr>
        <w:t>Frequently Asked Questions</w:t>
      </w:r>
    </w:p>
    <w:p w14:paraId="11B637BF" w14:textId="77777777" w:rsidR="00944B6E" w:rsidRDefault="00000000">
      <w:pPr>
        <w:spacing w:after="200"/>
      </w:pPr>
      <w:r>
        <w:rPr>
          <w:rFonts w:ascii="Arial" w:eastAsia="Arial" w:hAnsi="Arial" w:cs="Arial"/>
          <w:i/>
          <w:iCs/>
          <w:sz w:val="22"/>
          <w:szCs w:val="22"/>
        </w:rPr>
        <w:t>Program details, funding amounts, key dates, and the application portal are at houstonlandbank.org. The questions below cover what applicants most often ask beyond those basics.</w:t>
      </w:r>
    </w:p>
    <w:p w14:paraId="16854D1E" w14:textId="77777777" w:rsidR="00944B6E" w:rsidRDefault="00000000">
      <w:pPr>
        <w:spacing w:before="320" w:after="120"/>
      </w:pPr>
      <w:r>
        <w:rPr>
          <w:rFonts w:ascii="Arial" w:eastAsia="Arial" w:hAnsi="Arial" w:cs="Arial"/>
          <w:b/>
          <w:bCs/>
          <w:color w:val="1B8080"/>
          <w:sz w:val="26"/>
          <w:szCs w:val="26"/>
        </w:rPr>
        <w:t>Eligibility</w:t>
      </w:r>
    </w:p>
    <w:p w14:paraId="12EC2A41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Can individuals apply?</w:t>
      </w:r>
    </w:p>
    <w:p w14:paraId="091DB57E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No. Applications must come from a registered business, legal entity, nonprofit, or DBA.</w:t>
      </w:r>
    </w:p>
    <w:p w14:paraId="53C846E3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Do I have to be a nonprofit to apply?</w:t>
      </w:r>
    </w:p>
    <w:p w14:paraId="4554616F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 xml:space="preserve">No. Small businesses, LLCs, sole proprietors with a DBA, community development corporations, faith-based organizations, and grassroots groups are all eligible, </w:t>
      </w:r>
      <w:proofErr w:type="gramStart"/>
      <w:r>
        <w:rPr>
          <w:rFonts w:ascii="Arial" w:eastAsia="Arial" w:hAnsi="Arial" w:cs="Arial"/>
          <w:sz w:val="22"/>
          <w:szCs w:val="22"/>
        </w:rPr>
        <w:t>as long as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the entity is registered and in good standing.</w:t>
      </w:r>
    </w:p>
    <w:p w14:paraId="512AB98A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When does the clock start for the minimum years of operation?</w:t>
      </w:r>
    </w:p>
    <w:p w14:paraId="6F1CB148" w14:textId="5C69154E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 xml:space="preserve">From your business or organization's origination date, meaning the date it was legally established or registered. Tier 1 requires at least 2 </w:t>
      </w:r>
      <w:r w:rsidR="00A25FE6">
        <w:rPr>
          <w:rFonts w:ascii="Arial" w:eastAsia="Arial" w:hAnsi="Arial" w:cs="Arial"/>
          <w:sz w:val="22"/>
          <w:szCs w:val="22"/>
        </w:rPr>
        <w:t>years,</w:t>
      </w:r>
      <w:r>
        <w:rPr>
          <w:rFonts w:ascii="Arial" w:eastAsia="Arial" w:hAnsi="Arial" w:cs="Arial"/>
          <w:sz w:val="22"/>
          <w:szCs w:val="22"/>
        </w:rPr>
        <w:t xml:space="preserve"> and Tier 2 requires at least 5 years as of the application deadline. Your registration or formation documents are used to verify this.</w:t>
      </w:r>
    </w:p>
    <w:p w14:paraId="3ACA024E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Does my organization have to </w:t>
      </w:r>
      <w:proofErr w:type="gramStart"/>
      <w:r>
        <w:rPr>
          <w:rFonts w:ascii="Arial" w:eastAsia="Arial" w:hAnsi="Arial" w:cs="Arial"/>
          <w:b/>
          <w:bCs/>
          <w:sz w:val="22"/>
          <w:szCs w:val="22"/>
        </w:rPr>
        <w:t>be located in</w:t>
      </w:r>
      <w:proofErr w:type="gramEnd"/>
      <w:r>
        <w:rPr>
          <w:rFonts w:ascii="Arial" w:eastAsia="Arial" w:hAnsi="Arial" w:cs="Arial"/>
          <w:b/>
          <w:bCs/>
          <w:sz w:val="22"/>
          <w:szCs w:val="22"/>
        </w:rPr>
        <w:t xml:space="preserve"> Third Ward?</w:t>
      </w:r>
    </w:p>
    <w:p w14:paraId="72C73A95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No. You must show that your programs or services directly benefit Third Ward residents.</w:t>
      </w:r>
    </w:p>
    <w:p w14:paraId="601F5492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Can I apply through a fiscal sponsor?</w:t>
      </w:r>
    </w:p>
    <w:p w14:paraId="2CFC5B5A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Yes. If you operate under a fiscal sponsor, upload your fiscal sponsorship agreement as your registration document and describe the arrangement in your application.</w:t>
      </w:r>
    </w:p>
    <w:p w14:paraId="68495E44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Can faith-based organizations apply?</w:t>
      </w:r>
    </w:p>
    <w:p w14:paraId="61B236FC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Yes. Grant funds may support their community programs and services, but not religious worship activities.</w:t>
      </w:r>
    </w:p>
    <w:p w14:paraId="0CF44B0D" w14:textId="77777777" w:rsidR="00944B6E" w:rsidRDefault="00000000">
      <w:pPr>
        <w:spacing w:before="320" w:after="120"/>
      </w:pPr>
      <w:r>
        <w:rPr>
          <w:rFonts w:ascii="Arial" w:eastAsia="Arial" w:hAnsi="Arial" w:cs="Arial"/>
          <w:b/>
          <w:bCs/>
          <w:color w:val="1B8080"/>
          <w:sz w:val="26"/>
          <w:szCs w:val="26"/>
        </w:rPr>
        <w:t>Applying</w:t>
      </w:r>
    </w:p>
    <w:p w14:paraId="12EFDB9C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Can I apply for both tiers?</w:t>
      </w:r>
    </w:p>
    <w:p w14:paraId="16C8B7C1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No. One application per organization, in one tier only.</w:t>
      </w:r>
    </w:p>
    <w:p w14:paraId="2D3E36EA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Do I have to request the maximum amount?</w:t>
      </w:r>
    </w:p>
    <w:p w14:paraId="46CD73A4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No. Request only what your project needs.</w:t>
      </w:r>
    </w:p>
    <w:p w14:paraId="52DA431A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Does my project have to be brand new?</w:t>
      </w:r>
    </w:p>
    <w:p w14:paraId="1A4D2533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No. You can request funding to strengthen, expand, or stabilize an existing program, or to launch something new.</w:t>
      </w:r>
    </w:p>
    <w:p w14:paraId="1C98C675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What documents will I need?</w:t>
      </w:r>
    </w:p>
    <w:p w14:paraId="2C02416F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A completed application, W-9, project description, budget on the HLB template, proof of legal registration or DBA, and financial documentation. Tier 2 applicants also need two letters of support from community leaders.</w:t>
      </w:r>
    </w:p>
    <w:p w14:paraId="6D950B60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Do I need matching funds or other funding to apply?</w:t>
      </w:r>
    </w:p>
    <w:p w14:paraId="09E249BB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lastRenderedPageBreak/>
        <w:t>No. Other funding sources are optional to report and do not affect your score. If you list them, make sure they match the other funding section of your budget.</w:t>
      </w:r>
    </w:p>
    <w:p w14:paraId="4933351E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Can I change my application after I submit it?</w:t>
      </w:r>
    </w:p>
    <w:p w14:paraId="4C89A3DA" w14:textId="5BE18813" w:rsidR="00944B6E" w:rsidRDefault="00A25FE6">
      <w:pPr>
        <w:spacing w:after="120"/>
      </w:pPr>
      <w:r>
        <w:rPr>
          <w:rFonts w:ascii="Arial" w:eastAsia="Arial" w:hAnsi="Arial" w:cs="Arial"/>
          <w:sz w:val="22"/>
          <w:szCs w:val="22"/>
        </w:rPr>
        <w:t>Generally,</w:t>
      </w:r>
      <w:r w:rsidR="00000000">
        <w:rPr>
          <w:rFonts w:ascii="Arial" w:eastAsia="Arial" w:hAnsi="Arial" w:cs="Arial"/>
          <w:sz w:val="22"/>
          <w:szCs w:val="22"/>
        </w:rPr>
        <w:t xml:space="preserve"> no, so review carefully before submitting. Incomplete applications may be deemed ineligible.</w:t>
      </w:r>
    </w:p>
    <w:p w14:paraId="575FC7DF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Can Houston Land Bank staff review my draft before I submit?</w:t>
      </w:r>
    </w:p>
    <w:p w14:paraId="1083A283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Staff can answer questions about the process but cannot review or score drafts.</w:t>
      </w:r>
    </w:p>
    <w:p w14:paraId="24FE2FAB" w14:textId="77777777" w:rsidR="00944B6E" w:rsidRDefault="00000000">
      <w:pPr>
        <w:spacing w:before="320" w:after="120"/>
      </w:pPr>
      <w:r>
        <w:rPr>
          <w:rFonts w:ascii="Arial" w:eastAsia="Arial" w:hAnsi="Arial" w:cs="Arial"/>
          <w:b/>
          <w:bCs/>
          <w:color w:val="1B8080"/>
          <w:sz w:val="26"/>
          <w:szCs w:val="26"/>
        </w:rPr>
        <w:t>Funding Decisions</w:t>
      </w:r>
    </w:p>
    <w:p w14:paraId="46776FD0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If I meet the eligibility requirements, am I guaranteed funding?</w:t>
      </w:r>
    </w:p>
    <w:p w14:paraId="6F095D58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No. Funding is competitive. Applications are scored with a standardized rubric and need an average score of at least 75 to be considered. Houston Land Bank may fully fund, partially fund, or decline any application.</w:t>
      </w:r>
    </w:p>
    <w:p w14:paraId="554EF08E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When will I find out, and when do projects start?</w:t>
      </w:r>
    </w:p>
    <w:p w14:paraId="506F4D87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Funding decisions are expected in December 2026, and funded projects begin in January 2027.</w:t>
      </w:r>
    </w:p>
    <w:p w14:paraId="58FE1AFE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How will grant funds be paid out?</w:t>
      </w:r>
    </w:p>
    <w:p w14:paraId="275E7225" w14:textId="7CFD3F35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Awardees sign a grant agreement that sets the payment schedule and reporting expectations.</w:t>
      </w:r>
    </w:p>
    <w:p w14:paraId="6D4DB02F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What can grant funds not be used for?</w:t>
      </w:r>
    </w:p>
    <w:p w14:paraId="586CE47F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Political activities or lobbying, religious worship activities, personal expenses, debt repayment, fines or penalties, and any costs incurred before the grant agreement is signed.</w:t>
      </w:r>
    </w:p>
    <w:p w14:paraId="6486CBDA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What happens after I receive an award?</w:t>
      </w:r>
    </w:p>
    <w:p w14:paraId="224763BB" w14:textId="77777777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>Awardees sign a grant agreement and submit progress and financial reports during the grant period. Houston Land Bank may also provide coaching and technical assistance check-ins.</w:t>
      </w:r>
    </w:p>
    <w:p w14:paraId="27C9C83D" w14:textId="77777777" w:rsidR="00944B6E" w:rsidRDefault="00000000">
      <w:pPr>
        <w:spacing w:before="200" w:after="60"/>
      </w:pPr>
      <w:r>
        <w:rPr>
          <w:rFonts w:ascii="Arial" w:eastAsia="Arial" w:hAnsi="Arial" w:cs="Arial"/>
          <w:b/>
          <w:bCs/>
          <w:sz w:val="22"/>
          <w:szCs w:val="22"/>
        </w:rPr>
        <w:t>If I am not selected, can I apply again in the future?</w:t>
      </w:r>
    </w:p>
    <w:p w14:paraId="031394B2" w14:textId="550738E6" w:rsidR="00944B6E" w:rsidRDefault="00000000">
      <w:pPr>
        <w:spacing w:after="120"/>
      </w:pPr>
      <w:r>
        <w:rPr>
          <w:rFonts w:ascii="Arial" w:eastAsia="Arial" w:hAnsi="Arial" w:cs="Arial"/>
          <w:sz w:val="22"/>
          <w:szCs w:val="22"/>
        </w:rPr>
        <w:t xml:space="preserve">This cycle's decisions are </w:t>
      </w:r>
      <w:r w:rsidR="00106F49">
        <w:rPr>
          <w:rFonts w:ascii="Arial" w:eastAsia="Arial" w:hAnsi="Arial" w:cs="Arial"/>
          <w:sz w:val="22"/>
          <w:szCs w:val="22"/>
        </w:rPr>
        <w:t>for one year</w:t>
      </w:r>
      <w:r>
        <w:rPr>
          <w:rFonts w:ascii="Arial" w:eastAsia="Arial" w:hAnsi="Arial" w:cs="Arial"/>
          <w:sz w:val="22"/>
          <w:szCs w:val="22"/>
        </w:rPr>
        <w:t>, but we encourage organizations to stay connected at houstonlandbank.org for</w:t>
      </w:r>
      <w:r w:rsidR="00106F49">
        <w:rPr>
          <w:rFonts w:ascii="Arial" w:eastAsia="Arial" w:hAnsi="Arial" w:cs="Arial"/>
          <w:sz w:val="22"/>
          <w:szCs w:val="22"/>
        </w:rPr>
        <w:t xml:space="preserve"> the potential of</w:t>
      </w:r>
      <w:r>
        <w:rPr>
          <w:rFonts w:ascii="Arial" w:eastAsia="Arial" w:hAnsi="Arial" w:cs="Arial"/>
          <w:sz w:val="22"/>
          <w:szCs w:val="22"/>
        </w:rPr>
        <w:t xml:space="preserve"> future opportunities</w:t>
      </w:r>
    </w:p>
    <w:sectPr w:rsidR="00944B6E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3596"/>
    <w:multiLevelType w:val="hybridMultilevel"/>
    <w:tmpl w:val="BFDE3FAA"/>
    <w:lvl w:ilvl="0" w:tplc="CDACFD04">
      <w:start w:val="1"/>
      <w:numFmt w:val="bullet"/>
      <w:lvlText w:val="●"/>
      <w:lvlJc w:val="left"/>
      <w:pPr>
        <w:ind w:left="720" w:hanging="360"/>
      </w:pPr>
    </w:lvl>
    <w:lvl w:ilvl="1" w:tplc="409C00D8">
      <w:start w:val="1"/>
      <w:numFmt w:val="bullet"/>
      <w:lvlText w:val="○"/>
      <w:lvlJc w:val="left"/>
      <w:pPr>
        <w:ind w:left="1440" w:hanging="360"/>
      </w:pPr>
    </w:lvl>
    <w:lvl w:ilvl="2" w:tplc="CAE68EB0">
      <w:start w:val="1"/>
      <w:numFmt w:val="bullet"/>
      <w:lvlText w:val="■"/>
      <w:lvlJc w:val="left"/>
      <w:pPr>
        <w:ind w:left="2160" w:hanging="360"/>
      </w:pPr>
    </w:lvl>
    <w:lvl w:ilvl="3" w:tplc="56E85F76">
      <w:start w:val="1"/>
      <w:numFmt w:val="bullet"/>
      <w:lvlText w:val="●"/>
      <w:lvlJc w:val="left"/>
      <w:pPr>
        <w:ind w:left="2880" w:hanging="360"/>
      </w:pPr>
    </w:lvl>
    <w:lvl w:ilvl="4" w:tplc="C3D20B1A">
      <w:start w:val="1"/>
      <w:numFmt w:val="bullet"/>
      <w:lvlText w:val="○"/>
      <w:lvlJc w:val="left"/>
      <w:pPr>
        <w:ind w:left="3600" w:hanging="360"/>
      </w:pPr>
    </w:lvl>
    <w:lvl w:ilvl="5" w:tplc="5A10A612">
      <w:start w:val="1"/>
      <w:numFmt w:val="bullet"/>
      <w:lvlText w:val="■"/>
      <w:lvlJc w:val="left"/>
      <w:pPr>
        <w:ind w:left="4320" w:hanging="360"/>
      </w:pPr>
    </w:lvl>
    <w:lvl w:ilvl="6" w:tplc="73120F54">
      <w:start w:val="1"/>
      <w:numFmt w:val="bullet"/>
      <w:lvlText w:val="●"/>
      <w:lvlJc w:val="left"/>
      <w:pPr>
        <w:ind w:left="5040" w:hanging="360"/>
      </w:pPr>
    </w:lvl>
    <w:lvl w:ilvl="7" w:tplc="4A16C4E0">
      <w:start w:val="1"/>
      <w:numFmt w:val="bullet"/>
      <w:lvlText w:val="●"/>
      <w:lvlJc w:val="left"/>
      <w:pPr>
        <w:ind w:left="5760" w:hanging="360"/>
      </w:pPr>
    </w:lvl>
    <w:lvl w:ilvl="8" w:tplc="765E6AF2">
      <w:start w:val="1"/>
      <w:numFmt w:val="bullet"/>
      <w:lvlText w:val="●"/>
      <w:lvlJc w:val="left"/>
      <w:pPr>
        <w:ind w:left="6480" w:hanging="360"/>
      </w:pPr>
    </w:lvl>
  </w:abstractNum>
  <w:num w:numId="1" w16cid:durableId="392820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B6E"/>
    <w:rsid w:val="00106F49"/>
    <w:rsid w:val="006C5C32"/>
    <w:rsid w:val="00944B6E"/>
    <w:rsid w:val="00A25FE6"/>
    <w:rsid w:val="00C50DA1"/>
    <w:rsid w:val="00D5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8F6C2"/>
  <w15:docId w15:val="{C5002FE1-8E1D-4290-ACE1-31B4AE03B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Kadiatou Fofana</cp:lastModifiedBy>
  <cp:revision>4</cp:revision>
  <dcterms:created xsi:type="dcterms:W3CDTF">2026-07-27T20:58:00Z</dcterms:created>
  <dcterms:modified xsi:type="dcterms:W3CDTF">2026-08-03T14:37:00Z</dcterms:modified>
</cp:coreProperties>
</file>